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C1E" w:rsidRPr="009B1E51" w:rsidRDefault="00C21C1E">
      <w:pPr>
        <w:rPr>
          <w:rFonts w:cstheme="minorHAnsi"/>
        </w:rPr>
      </w:pPr>
    </w:p>
    <w:p w:rsidR="00043012" w:rsidRPr="009B1E51" w:rsidRDefault="00043012" w:rsidP="00043012">
      <w:pPr>
        <w:shd w:val="clear" w:color="auto" w:fill="FFFFFF"/>
        <w:spacing w:after="100" w:afterAutospacing="1"/>
        <w:ind w:left="0" w:firstLine="0"/>
        <w:outlineLvl w:val="0"/>
        <w:rPr>
          <w:rFonts w:eastAsia="Times New Roman" w:cstheme="minorHAnsi"/>
          <w:color w:val="212529"/>
          <w:kern w:val="36"/>
          <w:sz w:val="144"/>
          <w:szCs w:val="58"/>
          <w:lang w:eastAsia="fr-FR"/>
        </w:rPr>
      </w:pPr>
      <w:r w:rsidRPr="009B1E51">
        <w:rPr>
          <w:rFonts w:eastAsia="Times New Roman" w:cstheme="minorHAnsi"/>
          <w:b/>
          <w:bCs/>
          <w:color w:val="212529"/>
          <w:kern w:val="36"/>
          <w:sz w:val="56"/>
          <w:lang w:eastAsia="fr-FR"/>
        </w:rPr>
        <w:t>Les défaillances d’exploitations céréalières ont progressé au 2e trimestre</w:t>
      </w:r>
      <w:r w:rsidR="001B39AC" w:rsidRPr="009B1E51">
        <w:rPr>
          <w:rFonts w:eastAsia="Times New Roman" w:cstheme="minorHAnsi"/>
          <w:b/>
          <w:bCs/>
          <w:color w:val="212529"/>
          <w:kern w:val="36"/>
          <w:sz w:val="56"/>
          <w:lang w:eastAsia="fr-FR"/>
        </w:rPr>
        <w:t xml:space="preserve"> 2026</w:t>
      </w:r>
    </w:p>
    <w:p w:rsidR="00043012" w:rsidRPr="009B1E51" w:rsidRDefault="00043012" w:rsidP="00043012">
      <w:pPr>
        <w:shd w:val="clear" w:color="auto" w:fill="FFFFFF"/>
        <w:ind w:left="-129" w:firstLine="0"/>
        <w:jc w:val="both"/>
        <w:rPr>
          <w:rFonts w:eastAsia="Times New Roman" w:cstheme="minorHAnsi"/>
          <w:b/>
          <w:color w:val="212529"/>
          <w:sz w:val="24"/>
          <w:szCs w:val="17"/>
          <w:lang w:eastAsia="fr-FR"/>
        </w:rPr>
      </w:pPr>
      <w:r w:rsidRPr="009B1E51">
        <w:rPr>
          <w:rFonts w:eastAsia="Times New Roman" w:cstheme="minorHAnsi"/>
          <w:b/>
          <w:color w:val="212529"/>
          <w:sz w:val="24"/>
          <w:szCs w:val="17"/>
          <w:lang w:eastAsia="fr-FR"/>
        </w:rPr>
        <w:t>   </w:t>
      </w:r>
    </w:p>
    <w:p w:rsidR="00043012" w:rsidRPr="009B1E51" w:rsidRDefault="00043012" w:rsidP="00043012">
      <w:pPr>
        <w:shd w:val="clear" w:color="auto" w:fill="FFFFFF"/>
        <w:spacing w:after="100" w:afterAutospacing="1" w:line="258" w:lineRule="atLeast"/>
        <w:ind w:left="-129" w:firstLine="0"/>
        <w:jc w:val="both"/>
        <w:rPr>
          <w:rFonts w:eastAsia="Times New Roman" w:cstheme="minorHAnsi"/>
          <w:b/>
          <w:bCs/>
          <w:color w:val="212529"/>
          <w:sz w:val="32"/>
          <w:szCs w:val="19"/>
          <w:lang w:eastAsia="fr-FR"/>
        </w:rPr>
      </w:pPr>
      <w:r w:rsidRPr="009B1E51">
        <w:rPr>
          <w:rFonts w:eastAsia="Times New Roman" w:cstheme="minorHAnsi"/>
          <w:b/>
          <w:bCs/>
          <w:color w:val="212529"/>
          <w:sz w:val="32"/>
          <w:szCs w:val="19"/>
          <w:lang w:eastAsia="fr-FR"/>
        </w:rPr>
        <w:t xml:space="preserve">Au deuxième trimestre 2026, les défaillances d’entreprises ont progressé de + 5,4 % par rapport à l’an passé, et le secteur agricole n’échappe pas à la règle, avec une hausse de </w:t>
      </w:r>
      <w:r w:rsidRPr="009B1E51">
        <w:rPr>
          <w:rFonts w:eastAsia="Times New Roman" w:cstheme="minorHAnsi"/>
          <w:b/>
          <w:bCs/>
          <w:i/>
          <w:color w:val="212529"/>
          <w:sz w:val="32"/>
          <w:szCs w:val="19"/>
          <w:lang w:eastAsia="fr-FR"/>
        </w:rPr>
        <w:t>+ 21 %</w:t>
      </w:r>
      <w:r w:rsidRPr="009B1E51">
        <w:rPr>
          <w:rFonts w:eastAsia="Times New Roman" w:cstheme="minorHAnsi"/>
          <w:b/>
          <w:bCs/>
          <w:color w:val="212529"/>
          <w:sz w:val="32"/>
          <w:szCs w:val="19"/>
          <w:lang w:eastAsia="fr-FR"/>
        </w:rPr>
        <w:t xml:space="preserve"> sur l’année.</w:t>
      </w:r>
    </w:p>
    <w:p w:rsidR="001B39AC" w:rsidRPr="009B1E51" w:rsidRDefault="00043012" w:rsidP="00043012">
      <w:pPr>
        <w:shd w:val="clear" w:color="auto" w:fill="FFFFFF"/>
        <w:spacing w:after="100" w:afterAutospacing="1"/>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t xml:space="preserve">« Depuis le début de l’année, 37 700 entreprises sont tombées dont les deux tiers directement en liquidation, soit 1 500 de plus par rapport à la même période 2025 », indique la dernière publication du cabinet Altares sur les défaillances d’entreprises. </w:t>
      </w:r>
    </w:p>
    <w:p w:rsidR="00043012" w:rsidRPr="009B1E51" w:rsidRDefault="00043012" w:rsidP="00043012">
      <w:pPr>
        <w:shd w:val="clear" w:color="auto" w:fill="FFFFFF"/>
        <w:spacing w:after="100" w:afterAutospacing="1"/>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t>Les chiffres du deuxième trimestre 2026 font état de 17 486 défaillances, soit + 5,4 % en un an.</w:t>
      </w:r>
    </w:p>
    <w:p w:rsidR="00043012" w:rsidRPr="009B1E51" w:rsidRDefault="00043012" w:rsidP="00043012">
      <w:pPr>
        <w:shd w:val="clear" w:color="auto" w:fill="FFFFFF"/>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br/>
      </w:r>
    </w:p>
    <w:p w:rsidR="00043012" w:rsidRPr="009B1E51" w:rsidRDefault="00043012" w:rsidP="00043012">
      <w:pPr>
        <w:shd w:val="clear" w:color="auto" w:fill="FFFFFF"/>
        <w:spacing w:before="107" w:after="100" w:afterAutospacing="1"/>
        <w:ind w:left="-129" w:firstLine="0"/>
        <w:jc w:val="both"/>
        <w:outlineLvl w:val="1"/>
        <w:rPr>
          <w:rFonts w:eastAsia="Times New Roman" w:cstheme="minorHAnsi"/>
          <w:b/>
          <w:bCs/>
          <w:color w:val="212529"/>
          <w:sz w:val="44"/>
          <w:szCs w:val="27"/>
          <w:lang w:eastAsia="fr-FR"/>
        </w:rPr>
      </w:pPr>
      <w:r w:rsidRPr="009B1E51">
        <w:rPr>
          <w:rFonts w:eastAsia="Times New Roman" w:cstheme="minorHAnsi"/>
          <w:b/>
          <w:bCs/>
          <w:color w:val="212529"/>
          <w:sz w:val="44"/>
          <w:szCs w:val="27"/>
          <w:lang w:eastAsia="fr-FR"/>
        </w:rPr>
        <w:t>+ 21 % de défaillances d’entreprises agricoles</w:t>
      </w:r>
    </w:p>
    <w:p w:rsidR="00043012" w:rsidRPr="009B1E51" w:rsidRDefault="00043012" w:rsidP="00043012">
      <w:pPr>
        <w:shd w:val="clear" w:color="auto" w:fill="FFFFFF"/>
        <w:spacing w:after="100" w:afterAutospacing="1"/>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t>L’agriculture connaît de son côté « une nette poussée des défaillances » au deuxième trimestre 2026, constate Altarès, avec </w:t>
      </w:r>
      <w:r w:rsidRPr="009B1E51">
        <w:rPr>
          <w:rFonts w:eastAsia="Times New Roman" w:cstheme="minorHAnsi"/>
          <w:b/>
          <w:bCs/>
          <w:color w:val="212529"/>
          <w:sz w:val="28"/>
          <w:lang w:eastAsia="fr-FR"/>
        </w:rPr>
        <w:t>444 procédures</w:t>
      </w:r>
      <w:r w:rsidRPr="009B1E51">
        <w:rPr>
          <w:rFonts w:eastAsia="Times New Roman" w:cstheme="minorHAnsi"/>
          <w:b/>
          <w:color w:val="212529"/>
          <w:sz w:val="28"/>
          <w:szCs w:val="17"/>
          <w:lang w:eastAsia="fr-FR"/>
        </w:rPr>
        <w:t> soit une augmentation de + 21 % sur un an. Dans le détail, le cabinet relève 257 procédures de redressement judiciaire, 173 liquidations et 14 procédures de sauvegarde pour le secteur agricole.</w:t>
      </w:r>
    </w:p>
    <w:p w:rsidR="00043012" w:rsidRPr="009B1E51" w:rsidRDefault="00043012" w:rsidP="00043012">
      <w:pPr>
        <w:shd w:val="clear" w:color="auto" w:fill="FFFFFF"/>
        <w:spacing w:after="100" w:afterAutospacing="1"/>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t>Les exploitations en </w:t>
      </w:r>
      <w:r w:rsidRPr="009B1E51">
        <w:rPr>
          <w:rFonts w:eastAsia="Times New Roman" w:cstheme="minorHAnsi"/>
          <w:b/>
          <w:bCs/>
          <w:color w:val="212529"/>
          <w:sz w:val="28"/>
          <w:lang w:eastAsia="fr-FR"/>
        </w:rPr>
        <w:t>grandes cultures</w:t>
      </w:r>
      <w:r w:rsidRPr="009B1E51">
        <w:rPr>
          <w:rFonts w:eastAsia="Times New Roman" w:cstheme="minorHAnsi"/>
          <w:b/>
          <w:color w:val="212529"/>
          <w:sz w:val="28"/>
          <w:szCs w:val="17"/>
          <w:lang w:eastAsia="fr-FR"/>
        </w:rPr>
        <w:t> se révèlent les plus impactées par le phénomène, puisque les cultures totalisent 263 défaillances (+ 28 %), avec un taux de liquidations judiciaires de 32,7 %. Les cultures de </w:t>
      </w:r>
      <w:r w:rsidRPr="009B1E51">
        <w:rPr>
          <w:rFonts w:eastAsia="Times New Roman" w:cstheme="minorHAnsi"/>
          <w:b/>
          <w:bCs/>
          <w:color w:val="212529"/>
          <w:sz w:val="28"/>
          <w:lang w:eastAsia="fr-FR"/>
        </w:rPr>
        <w:t>céréales </w:t>
      </w:r>
      <w:r w:rsidRPr="009B1E51">
        <w:rPr>
          <w:rFonts w:eastAsia="Times New Roman" w:cstheme="minorHAnsi"/>
          <w:b/>
          <w:color w:val="212529"/>
          <w:sz w:val="28"/>
          <w:szCs w:val="17"/>
          <w:lang w:eastAsia="fr-FR"/>
        </w:rPr>
        <w:t>connaissent une </w:t>
      </w:r>
      <w:r w:rsidRPr="009B1E51">
        <w:rPr>
          <w:rFonts w:eastAsia="Times New Roman" w:cstheme="minorHAnsi"/>
          <w:b/>
          <w:bCs/>
          <w:color w:val="212529"/>
          <w:sz w:val="28"/>
          <w:lang w:eastAsia="fr-FR"/>
        </w:rPr>
        <w:t>hausse marquée de + 43 % des défaillances </w:t>
      </w:r>
      <w:r w:rsidRPr="009B1E51">
        <w:rPr>
          <w:rFonts w:eastAsia="Times New Roman" w:cstheme="minorHAnsi"/>
          <w:b/>
          <w:color w:val="212529"/>
          <w:sz w:val="28"/>
          <w:szCs w:val="17"/>
          <w:lang w:eastAsia="fr-FR"/>
        </w:rPr>
        <w:t>(contre + 16 % pour la vigne).</w:t>
      </w:r>
    </w:p>
    <w:p w:rsidR="00043012" w:rsidRPr="009B1E51" w:rsidRDefault="00043012" w:rsidP="00043012">
      <w:pPr>
        <w:shd w:val="clear" w:color="auto" w:fill="FFFFFF"/>
        <w:spacing w:after="100" w:afterAutospacing="1"/>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t>En élevage, la hausse des procédures est de + 12 % au deuxième trimestre, soit 121 défaillances, avec une progression de + 38 % en élevage laitier, et + 46 % en élevage ovin et caprin. À noter qu’en élevage de volailles, à l’inverse, les défaillances se replient de — 44 % par rapport à l’année passée.</w:t>
      </w:r>
    </w:p>
    <w:p w:rsidR="00CA60EC" w:rsidRDefault="00CA60EC" w:rsidP="00043012">
      <w:pPr>
        <w:shd w:val="clear" w:color="auto" w:fill="FFFFFF"/>
        <w:spacing w:after="100" w:afterAutospacing="1"/>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t>A cette cadence, l’agriculture française est vraiment en danger.</w:t>
      </w:r>
    </w:p>
    <w:p w:rsidR="0087763F" w:rsidRPr="009B1E51" w:rsidRDefault="0087763F" w:rsidP="00043012">
      <w:pPr>
        <w:shd w:val="clear" w:color="auto" w:fill="FFFFFF"/>
        <w:spacing w:after="100" w:afterAutospacing="1"/>
        <w:ind w:left="-129" w:firstLine="0"/>
        <w:jc w:val="both"/>
        <w:rPr>
          <w:rFonts w:eastAsia="Times New Roman" w:cstheme="minorHAnsi"/>
          <w:b/>
          <w:color w:val="212529"/>
          <w:sz w:val="28"/>
          <w:szCs w:val="17"/>
          <w:lang w:eastAsia="fr-FR"/>
        </w:rPr>
      </w:pPr>
      <w:r>
        <w:rPr>
          <w:rFonts w:eastAsia="Times New Roman" w:cstheme="minorHAnsi"/>
          <w:b/>
          <w:color w:val="212529"/>
          <w:sz w:val="28"/>
          <w:szCs w:val="17"/>
          <w:lang w:eastAsia="fr-FR"/>
        </w:rPr>
        <w:lastRenderedPageBreak/>
        <w:t>Certains pensent que dans 5 ans, il n’y aura plus que 200 000 entreprises agricoles, ce qui aura des conséquences terribles sur les équilibres de la ruralité.</w:t>
      </w:r>
    </w:p>
    <w:p w:rsidR="00CA60EC" w:rsidRPr="009B1E51" w:rsidRDefault="00CA60EC" w:rsidP="00043012">
      <w:pPr>
        <w:shd w:val="clear" w:color="auto" w:fill="FFFFFF"/>
        <w:spacing w:after="100" w:afterAutospacing="1"/>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t>Cela fait 3 années consécutives que les exploitations de gr</w:t>
      </w:r>
      <w:r w:rsidR="006C6FDB" w:rsidRPr="009B1E51">
        <w:rPr>
          <w:rFonts w:eastAsia="Times New Roman" w:cstheme="minorHAnsi"/>
          <w:b/>
          <w:color w:val="212529"/>
          <w:sz w:val="28"/>
          <w:szCs w:val="17"/>
          <w:lang w:eastAsia="fr-FR"/>
        </w:rPr>
        <w:t>andes cultures ne peuvent plus dégager de revenus</w:t>
      </w:r>
      <w:r w:rsidRPr="009B1E51">
        <w:rPr>
          <w:rFonts w:eastAsia="Times New Roman" w:cstheme="minorHAnsi"/>
          <w:b/>
          <w:color w:val="212529"/>
          <w:sz w:val="28"/>
          <w:szCs w:val="17"/>
          <w:lang w:eastAsia="fr-FR"/>
        </w:rPr>
        <w:t xml:space="preserve"> en raison de prix de vente mondiaux totalement décalés par rapport aux </w:t>
      </w:r>
      <w:r w:rsidR="006C6FDB" w:rsidRPr="009B1E51">
        <w:rPr>
          <w:rFonts w:eastAsia="Times New Roman" w:cstheme="minorHAnsi"/>
          <w:b/>
          <w:color w:val="212529"/>
          <w:sz w:val="28"/>
          <w:szCs w:val="17"/>
          <w:lang w:eastAsia="fr-FR"/>
        </w:rPr>
        <w:t>réalités des prix de revient qui ont beaucoup augmenté en raison du prix des engrais et de l’énergie.</w:t>
      </w:r>
    </w:p>
    <w:p w:rsidR="006C6FDB" w:rsidRPr="009B1E51" w:rsidRDefault="006C6FDB" w:rsidP="00043012">
      <w:pPr>
        <w:shd w:val="clear" w:color="auto" w:fill="FFFFFF"/>
        <w:spacing w:after="100" w:afterAutospacing="1"/>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t>Il faut, bien sûr, distinguer les différentes régions productrices.</w:t>
      </w:r>
    </w:p>
    <w:p w:rsidR="006C6FDB" w:rsidRPr="009B1E51" w:rsidRDefault="006C6FDB" w:rsidP="00043012">
      <w:pPr>
        <w:shd w:val="clear" w:color="auto" w:fill="FFFFFF"/>
        <w:spacing w:after="100" w:afterAutospacing="1"/>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t xml:space="preserve">C’est ainsi que du nord au sud, les rendements des grandes cultures vont du simple au double pour des prix de revient qui </w:t>
      </w:r>
      <w:r w:rsidR="00196F5F" w:rsidRPr="009B1E51">
        <w:rPr>
          <w:rFonts w:eastAsia="Times New Roman" w:cstheme="minorHAnsi"/>
          <w:b/>
          <w:color w:val="212529"/>
          <w:sz w:val="28"/>
          <w:szCs w:val="17"/>
          <w:lang w:eastAsia="fr-FR"/>
        </w:rPr>
        <w:t>sont loin de cette proportion.</w:t>
      </w:r>
    </w:p>
    <w:p w:rsidR="00196F5F" w:rsidRPr="009B1E51" w:rsidRDefault="00196F5F" w:rsidP="00043012">
      <w:pPr>
        <w:shd w:val="clear" w:color="auto" w:fill="FFFFFF"/>
        <w:spacing w:after="100" w:afterAutospacing="1"/>
        <w:ind w:left="-129" w:firstLine="0"/>
        <w:jc w:val="both"/>
        <w:rPr>
          <w:rFonts w:eastAsia="Times New Roman" w:cstheme="minorHAnsi"/>
          <w:b/>
          <w:color w:val="212529"/>
          <w:sz w:val="28"/>
          <w:szCs w:val="17"/>
          <w:lang w:eastAsia="fr-FR"/>
        </w:rPr>
      </w:pPr>
      <w:r w:rsidRPr="009B1E51">
        <w:rPr>
          <w:rFonts w:eastAsia="Times New Roman" w:cstheme="minorHAnsi"/>
          <w:b/>
          <w:color w:val="212529"/>
          <w:sz w:val="28"/>
          <w:szCs w:val="17"/>
          <w:lang w:eastAsia="fr-FR"/>
        </w:rPr>
        <w:t xml:space="preserve">En 2026, les </w:t>
      </w:r>
      <w:r w:rsidR="00BB0B4B" w:rsidRPr="009B1E51">
        <w:rPr>
          <w:rFonts w:eastAsia="Times New Roman" w:cstheme="minorHAnsi"/>
          <w:b/>
          <w:color w:val="212529"/>
          <w:sz w:val="28"/>
          <w:szCs w:val="17"/>
          <w:lang w:eastAsia="fr-FR"/>
        </w:rPr>
        <w:t>rendements moyens peuvent être résumés comme suit </w:t>
      </w:r>
      <w:r w:rsidR="007B4186">
        <w:rPr>
          <w:rFonts w:eastAsia="Times New Roman" w:cstheme="minorHAnsi"/>
          <w:b/>
          <w:color w:val="212529"/>
          <w:sz w:val="28"/>
          <w:szCs w:val="17"/>
          <w:lang w:eastAsia="fr-FR"/>
        </w:rPr>
        <w:t xml:space="preserve">en métropole </w:t>
      </w:r>
      <w:r w:rsidR="00BB0B4B" w:rsidRPr="009B1E51">
        <w:rPr>
          <w:rFonts w:eastAsia="Times New Roman" w:cstheme="minorHAnsi"/>
          <w:b/>
          <w:color w:val="212529"/>
          <w:sz w:val="28"/>
          <w:szCs w:val="17"/>
          <w:lang w:eastAsia="fr-FR"/>
        </w:rPr>
        <w:t>:</w:t>
      </w:r>
    </w:p>
    <w:p w:rsidR="008F4FA3" w:rsidRPr="009B1E51" w:rsidRDefault="00B73E18" w:rsidP="008F4FA3">
      <w:pPr>
        <w:pStyle w:val="Paragraphedeliste"/>
        <w:numPr>
          <w:ilvl w:val="0"/>
          <w:numId w:val="1"/>
        </w:numPr>
        <w:shd w:val="clear" w:color="auto" w:fill="FFFFFF"/>
        <w:spacing w:after="100" w:afterAutospacing="1"/>
        <w:jc w:val="both"/>
        <w:rPr>
          <w:rFonts w:eastAsia="Times New Roman" w:cstheme="minorHAnsi"/>
          <w:b/>
          <w:color w:val="212529"/>
          <w:sz w:val="28"/>
          <w:szCs w:val="17"/>
          <w:lang w:eastAsia="fr-FR"/>
        </w:rPr>
      </w:pPr>
      <w:r w:rsidRPr="009B1E51">
        <w:rPr>
          <w:rFonts w:eastAsia="Times New Roman" w:cstheme="minorHAnsi"/>
          <w:b/>
          <w:color w:val="FF0000"/>
          <w:sz w:val="36"/>
          <w:szCs w:val="17"/>
          <w:lang w:eastAsia="fr-FR"/>
        </w:rPr>
        <w:t>5</w:t>
      </w:r>
      <w:r w:rsidR="008F4FA3" w:rsidRPr="009B1E51">
        <w:rPr>
          <w:rFonts w:eastAsia="Times New Roman" w:cstheme="minorHAnsi"/>
          <w:b/>
          <w:color w:val="212529"/>
          <w:sz w:val="28"/>
          <w:szCs w:val="17"/>
          <w:lang w:eastAsia="fr-FR"/>
        </w:rPr>
        <w:t xml:space="preserve"> départements du Nord de la France </w:t>
      </w:r>
      <w:r w:rsidR="00BB0B4B" w:rsidRPr="009B1E51">
        <w:rPr>
          <w:rFonts w:eastAsia="Times New Roman" w:cstheme="minorHAnsi"/>
          <w:b/>
          <w:color w:val="212529"/>
          <w:sz w:val="28"/>
          <w:szCs w:val="17"/>
          <w:lang w:eastAsia="fr-FR"/>
        </w:rPr>
        <w:t xml:space="preserve">ont </w:t>
      </w:r>
      <w:r w:rsidR="008F4FA3" w:rsidRPr="009B1E51">
        <w:rPr>
          <w:rFonts w:eastAsia="Times New Roman" w:cstheme="minorHAnsi"/>
          <w:b/>
          <w:color w:val="212529"/>
          <w:sz w:val="28"/>
          <w:szCs w:val="17"/>
          <w:lang w:eastAsia="fr-FR"/>
        </w:rPr>
        <w:t>des rendements de : 80 à 90 qx/ha</w:t>
      </w:r>
    </w:p>
    <w:p w:rsidR="008F4FA3" w:rsidRPr="009B1E51" w:rsidRDefault="00B73E18" w:rsidP="008F4FA3">
      <w:pPr>
        <w:pStyle w:val="Paragraphedeliste"/>
        <w:numPr>
          <w:ilvl w:val="0"/>
          <w:numId w:val="1"/>
        </w:numPr>
        <w:shd w:val="clear" w:color="auto" w:fill="FFFFFF"/>
        <w:spacing w:after="100" w:afterAutospacing="1"/>
        <w:jc w:val="both"/>
        <w:rPr>
          <w:rFonts w:eastAsia="Times New Roman" w:cstheme="minorHAnsi"/>
          <w:b/>
          <w:color w:val="212529"/>
          <w:sz w:val="28"/>
          <w:szCs w:val="17"/>
          <w:lang w:eastAsia="fr-FR"/>
        </w:rPr>
      </w:pPr>
      <w:r w:rsidRPr="009B1E51">
        <w:rPr>
          <w:rFonts w:eastAsia="Times New Roman" w:cstheme="minorHAnsi"/>
          <w:b/>
          <w:color w:val="FF0000"/>
          <w:sz w:val="36"/>
          <w:szCs w:val="17"/>
          <w:lang w:eastAsia="fr-FR"/>
        </w:rPr>
        <w:t>11</w:t>
      </w:r>
      <w:r w:rsidRPr="009B1E51">
        <w:rPr>
          <w:rFonts w:eastAsia="Times New Roman" w:cstheme="minorHAnsi"/>
          <w:b/>
          <w:color w:val="212529"/>
          <w:sz w:val="28"/>
          <w:szCs w:val="17"/>
          <w:lang w:eastAsia="fr-FR"/>
        </w:rPr>
        <w:t xml:space="preserve"> départements de la Bretagne au Centre –Est  ont obtenu de : 70 à 80 qx/ha</w:t>
      </w:r>
    </w:p>
    <w:p w:rsidR="00B73E18" w:rsidRPr="009B1E51" w:rsidRDefault="003F5913" w:rsidP="008F4FA3">
      <w:pPr>
        <w:pStyle w:val="Paragraphedeliste"/>
        <w:numPr>
          <w:ilvl w:val="0"/>
          <w:numId w:val="1"/>
        </w:numPr>
        <w:shd w:val="clear" w:color="auto" w:fill="FFFFFF"/>
        <w:spacing w:after="100" w:afterAutospacing="1"/>
        <w:jc w:val="both"/>
        <w:rPr>
          <w:rFonts w:eastAsia="Times New Roman" w:cstheme="minorHAnsi"/>
          <w:b/>
          <w:color w:val="212529"/>
          <w:sz w:val="28"/>
          <w:szCs w:val="17"/>
          <w:lang w:eastAsia="fr-FR"/>
        </w:rPr>
      </w:pPr>
      <w:r w:rsidRPr="009B1E51">
        <w:rPr>
          <w:rFonts w:eastAsia="Times New Roman" w:cstheme="minorHAnsi"/>
          <w:b/>
          <w:color w:val="FF0000"/>
          <w:sz w:val="36"/>
          <w:szCs w:val="17"/>
          <w:lang w:eastAsia="fr-FR"/>
        </w:rPr>
        <w:t>12</w:t>
      </w:r>
      <w:r w:rsidR="00B73E18" w:rsidRPr="009B1E51">
        <w:rPr>
          <w:rFonts w:eastAsia="Times New Roman" w:cstheme="minorHAnsi"/>
          <w:b/>
          <w:color w:val="212529"/>
          <w:sz w:val="28"/>
          <w:szCs w:val="17"/>
          <w:lang w:eastAsia="fr-FR"/>
        </w:rPr>
        <w:t xml:space="preserve"> départements du Val de Loire à la Bourgogne ont obtenu de ; 60 à 70 qx/ha</w:t>
      </w:r>
    </w:p>
    <w:p w:rsidR="003F5913" w:rsidRPr="009B1E51" w:rsidRDefault="009B1E51" w:rsidP="008F4FA3">
      <w:pPr>
        <w:pStyle w:val="Paragraphedeliste"/>
        <w:numPr>
          <w:ilvl w:val="0"/>
          <w:numId w:val="1"/>
        </w:numPr>
        <w:shd w:val="clear" w:color="auto" w:fill="FFFFFF"/>
        <w:spacing w:after="100" w:afterAutospacing="1"/>
        <w:jc w:val="both"/>
        <w:rPr>
          <w:rFonts w:eastAsia="Times New Roman" w:cstheme="minorHAnsi"/>
          <w:b/>
          <w:color w:val="212529"/>
          <w:sz w:val="28"/>
          <w:szCs w:val="17"/>
          <w:lang w:eastAsia="fr-FR"/>
        </w:rPr>
      </w:pPr>
      <w:r w:rsidRPr="009B1E51">
        <w:rPr>
          <w:rFonts w:eastAsia="Times New Roman" w:cstheme="minorHAnsi"/>
          <w:b/>
          <w:color w:val="FF0000"/>
          <w:sz w:val="40"/>
          <w:szCs w:val="17"/>
          <w:lang w:eastAsia="fr-FR"/>
        </w:rPr>
        <w:t>40</w:t>
      </w:r>
      <w:r w:rsidR="00D84F4F" w:rsidRPr="009B1E51">
        <w:rPr>
          <w:rFonts w:eastAsia="Times New Roman" w:cstheme="minorHAnsi"/>
          <w:b/>
          <w:color w:val="212529"/>
          <w:sz w:val="28"/>
          <w:szCs w:val="17"/>
          <w:lang w:eastAsia="fr-FR"/>
        </w:rPr>
        <w:t xml:space="preserve"> départements entre Loire et Garonne</w:t>
      </w:r>
      <w:r w:rsidRPr="009B1E51">
        <w:rPr>
          <w:rFonts w:eastAsia="Times New Roman" w:cstheme="minorHAnsi"/>
          <w:b/>
          <w:color w:val="212529"/>
          <w:sz w:val="28"/>
          <w:szCs w:val="17"/>
          <w:lang w:eastAsia="fr-FR"/>
        </w:rPr>
        <w:t xml:space="preserve"> ont un rendement de 50 à 60 qx/ha</w:t>
      </w:r>
    </w:p>
    <w:p w:rsidR="00B73E18" w:rsidRPr="009B1E51" w:rsidRDefault="009B1E51" w:rsidP="008F4FA3">
      <w:pPr>
        <w:pStyle w:val="Paragraphedeliste"/>
        <w:numPr>
          <w:ilvl w:val="0"/>
          <w:numId w:val="1"/>
        </w:numPr>
        <w:shd w:val="clear" w:color="auto" w:fill="FFFFFF"/>
        <w:spacing w:after="100" w:afterAutospacing="1"/>
        <w:jc w:val="both"/>
        <w:rPr>
          <w:rFonts w:eastAsia="Times New Roman" w:cstheme="minorHAnsi"/>
          <w:b/>
          <w:color w:val="212529"/>
          <w:sz w:val="28"/>
          <w:szCs w:val="17"/>
          <w:lang w:eastAsia="fr-FR"/>
        </w:rPr>
      </w:pPr>
      <w:r w:rsidRPr="009B1E51">
        <w:rPr>
          <w:rFonts w:eastAsia="Times New Roman" w:cstheme="minorHAnsi"/>
          <w:b/>
          <w:color w:val="FF0000"/>
          <w:sz w:val="40"/>
          <w:szCs w:val="17"/>
          <w:lang w:eastAsia="fr-FR"/>
        </w:rPr>
        <w:t>27</w:t>
      </w:r>
      <w:r w:rsidR="007B4186">
        <w:rPr>
          <w:rFonts w:eastAsia="Times New Roman" w:cstheme="minorHAnsi"/>
          <w:b/>
          <w:color w:val="212529"/>
          <w:sz w:val="28"/>
          <w:szCs w:val="17"/>
          <w:lang w:eastAsia="fr-FR"/>
        </w:rPr>
        <w:t xml:space="preserve"> départements ont un rendeme</w:t>
      </w:r>
      <w:r w:rsidRPr="009B1E51">
        <w:rPr>
          <w:rFonts w:eastAsia="Times New Roman" w:cstheme="minorHAnsi"/>
          <w:b/>
          <w:color w:val="212529"/>
          <w:sz w:val="28"/>
          <w:szCs w:val="17"/>
          <w:lang w:eastAsia="fr-FR"/>
        </w:rPr>
        <w:t xml:space="preserve">nt inférieur à </w:t>
      </w:r>
    </w:p>
    <w:p w:rsidR="00043012" w:rsidRDefault="007B4186" w:rsidP="00043012">
      <w:pPr>
        <w:jc w:val="both"/>
        <w:rPr>
          <w:b/>
          <w:sz w:val="28"/>
        </w:rPr>
      </w:pPr>
      <w:r w:rsidRPr="007B4186">
        <w:rPr>
          <w:b/>
          <w:sz w:val="28"/>
        </w:rPr>
        <w:t>Pour l’ensemble du territoire</w:t>
      </w:r>
      <w:r>
        <w:rPr>
          <w:b/>
          <w:sz w:val="28"/>
        </w:rPr>
        <w:t xml:space="preserve">, la production de blé tendre avoisine 32 millions de tonnes, ce qui place l’année 2026 à </w:t>
      </w:r>
      <w:r w:rsidR="00AD06CE">
        <w:rPr>
          <w:b/>
          <w:sz w:val="28"/>
        </w:rPr>
        <w:t>- 8 %</w:t>
      </w:r>
      <w:r>
        <w:rPr>
          <w:b/>
          <w:sz w:val="28"/>
        </w:rPr>
        <w:t xml:space="preserve"> % de la moyenne quinque</w:t>
      </w:r>
      <w:r w:rsidR="00AD06CE">
        <w:rPr>
          <w:b/>
          <w:sz w:val="28"/>
        </w:rPr>
        <w:t>nnale avec une moyenne à l’hectare de : 67,7 Qx/ha.</w:t>
      </w:r>
    </w:p>
    <w:p w:rsidR="00AD06CE" w:rsidRDefault="00AD06CE" w:rsidP="00043012">
      <w:pPr>
        <w:jc w:val="both"/>
        <w:rPr>
          <w:b/>
          <w:sz w:val="28"/>
        </w:rPr>
      </w:pPr>
    </w:p>
    <w:p w:rsidR="00AD06CE" w:rsidRDefault="00AD06CE" w:rsidP="00043012">
      <w:pPr>
        <w:jc w:val="both"/>
        <w:rPr>
          <w:b/>
          <w:sz w:val="28"/>
        </w:rPr>
      </w:pPr>
      <w:r>
        <w:rPr>
          <w:b/>
          <w:sz w:val="28"/>
        </w:rPr>
        <w:t>Les causes de cette mauvaise récolte sont bien commues avec des contrastes climatiques de grande ampleur :</w:t>
      </w:r>
    </w:p>
    <w:p w:rsidR="00AD06CE" w:rsidRDefault="00AD06CE" w:rsidP="00AD06CE">
      <w:pPr>
        <w:pStyle w:val="Paragraphedeliste"/>
        <w:numPr>
          <w:ilvl w:val="0"/>
          <w:numId w:val="1"/>
        </w:numPr>
        <w:jc w:val="both"/>
        <w:rPr>
          <w:b/>
          <w:sz w:val="28"/>
        </w:rPr>
      </w:pPr>
      <w:r>
        <w:rPr>
          <w:b/>
          <w:sz w:val="28"/>
        </w:rPr>
        <w:t>Hiver très humide (</w:t>
      </w:r>
      <w:r w:rsidR="00AF0790">
        <w:rPr>
          <w:b/>
          <w:sz w:val="28"/>
        </w:rPr>
        <w:t>octobre à février, surtout février)</w:t>
      </w:r>
    </w:p>
    <w:p w:rsidR="00AD06CE" w:rsidRDefault="00AD06CE" w:rsidP="00AD06CE">
      <w:pPr>
        <w:pStyle w:val="Paragraphedeliste"/>
        <w:numPr>
          <w:ilvl w:val="0"/>
          <w:numId w:val="1"/>
        </w:numPr>
        <w:jc w:val="both"/>
        <w:rPr>
          <w:b/>
          <w:sz w:val="28"/>
        </w:rPr>
      </w:pPr>
      <w:r>
        <w:rPr>
          <w:b/>
          <w:sz w:val="28"/>
        </w:rPr>
        <w:t xml:space="preserve">Puis </w:t>
      </w:r>
      <w:r w:rsidR="00AF0790">
        <w:rPr>
          <w:b/>
          <w:sz w:val="28"/>
        </w:rPr>
        <w:t>5</w:t>
      </w:r>
      <w:r>
        <w:rPr>
          <w:b/>
          <w:sz w:val="28"/>
        </w:rPr>
        <w:t xml:space="preserve"> mois de sécheresse</w:t>
      </w:r>
      <w:r w:rsidR="00AF0790">
        <w:rPr>
          <w:b/>
          <w:sz w:val="28"/>
        </w:rPr>
        <w:t xml:space="preserve"> (mars à juillet)</w:t>
      </w:r>
    </w:p>
    <w:p w:rsidR="00AF0790" w:rsidRDefault="00AF0790" w:rsidP="00AD06CE">
      <w:pPr>
        <w:pStyle w:val="Paragraphedeliste"/>
        <w:numPr>
          <w:ilvl w:val="0"/>
          <w:numId w:val="1"/>
        </w:numPr>
        <w:jc w:val="both"/>
        <w:rPr>
          <w:b/>
          <w:sz w:val="28"/>
        </w:rPr>
      </w:pPr>
      <w:r>
        <w:rPr>
          <w:b/>
          <w:sz w:val="28"/>
        </w:rPr>
        <w:t>Canicule à 4 reprises dès le mois d’avril</w:t>
      </w:r>
    </w:p>
    <w:p w:rsidR="00AF0790" w:rsidRDefault="00AF0790" w:rsidP="00AF0790">
      <w:pPr>
        <w:ind w:left="0" w:firstLine="0"/>
        <w:jc w:val="both"/>
        <w:rPr>
          <w:b/>
          <w:sz w:val="28"/>
        </w:rPr>
      </w:pPr>
    </w:p>
    <w:p w:rsidR="00AF0790" w:rsidRDefault="00AF0790" w:rsidP="00AF0790">
      <w:pPr>
        <w:ind w:left="0" w:firstLine="0"/>
        <w:jc w:val="both"/>
        <w:rPr>
          <w:b/>
          <w:sz w:val="28"/>
        </w:rPr>
      </w:pPr>
      <w:r>
        <w:rPr>
          <w:b/>
          <w:sz w:val="28"/>
        </w:rPr>
        <w:t>Les autres cultures d’automne (orge, blé dur et colza) se sont un peu mieux défendues, surtout le colza.</w:t>
      </w:r>
    </w:p>
    <w:p w:rsidR="00AF0790" w:rsidRDefault="00AF0790" w:rsidP="00AF0790">
      <w:pPr>
        <w:ind w:left="0" w:firstLine="0"/>
        <w:jc w:val="both"/>
        <w:rPr>
          <w:b/>
          <w:sz w:val="28"/>
        </w:rPr>
      </w:pPr>
    </w:p>
    <w:p w:rsidR="00AF0790" w:rsidRDefault="00AF0790" w:rsidP="00AF0790">
      <w:pPr>
        <w:ind w:left="0" w:firstLine="0"/>
        <w:jc w:val="both"/>
        <w:rPr>
          <w:b/>
          <w:sz w:val="28"/>
        </w:rPr>
      </w:pPr>
      <w:r>
        <w:rPr>
          <w:b/>
          <w:sz w:val="28"/>
        </w:rPr>
        <w:lastRenderedPageBreak/>
        <w:t>Quant aux futures récoltes d’été : maïs, tournesol, soja, sorgho</w:t>
      </w:r>
      <w:r w:rsidR="00C51C9C">
        <w:rPr>
          <w:b/>
          <w:sz w:val="28"/>
        </w:rPr>
        <w:t>, les rendements seront catastrophiques, malgré les parcelles irriguées, trop souvent soumises à des restrictions, voire des interdictions d’irriguer.</w:t>
      </w:r>
    </w:p>
    <w:p w:rsidR="00C51C9C" w:rsidRDefault="00C51C9C" w:rsidP="00AF0790">
      <w:pPr>
        <w:ind w:left="0" w:firstLine="0"/>
        <w:jc w:val="both"/>
        <w:rPr>
          <w:b/>
          <w:sz w:val="28"/>
        </w:rPr>
      </w:pPr>
    </w:p>
    <w:p w:rsidR="00C51C9C" w:rsidRDefault="00C51C9C" w:rsidP="00AF0790">
      <w:pPr>
        <w:ind w:left="0" w:firstLine="0"/>
        <w:jc w:val="both"/>
        <w:rPr>
          <w:b/>
          <w:sz w:val="28"/>
        </w:rPr>
      </w:pPr>
    </w:p>
    <w:p w:rsidR="00C51C9C" w:rsidRDefault="00C51C9C" w:rsidP="00AF0790">
      <w:pPr>
        <w:ind w:left="0" w:firstLine="0"/>
        <w:jc w:val="both"/>
        <w:rPr>
          <w:b/>
          <w:sz w:val="28"/>
        </w:rPr>
      </w:pPr>
      <w:r>
        <w:rPr>
          <w:b/>
          <w:sz w:val="28"/>
        </w:rPr>
        <w:t>Après 2 années, déjà très difficiles, 2026 amplifie les difficultés des agriculteurs et détruit encore plus les trésoreries.</w:t>
      </w:r>
    </w:p>
    <w:p w:rsidR="00C51C9C" w:rsidRDefault="00C51C9C" w:rsidP="00AF0790">
      <w:pPr>
        <w:ind w:left="0" w:firstLine="0"/>
        <w:jc w:val="both"/>
        <w:rPr>
          <w:b/>
          <w:sz w:val="28"/>
        </w:rPr>
      </w:pPr>
      <w:r>
        <w:rPr>
          <w:b/>
          <w:sz w:val="28"/>
        </w:rPr>
        <w:t>On sait par ailleu</w:t>
      </w:r>
      <w:r w:rsidR="00704095">
        <w:rPr>
          <w:b/>
          <w:sz w:val="28"/>
        </w:rPr>
        <w:t>rs que les agriculteurs sont co</w:t>
      </w:r>
      <w:r>
        <w:rPr>
          <w:b/>
          <w:sz w:val="28"/>
        </w:rPr>
        <w:t>incés par le ciseau des prix :</w:t>
      </w:r>
    </w:p>
    <w:p w:rsidR="00C51C9C" w:rsidRDefault="00C51C9C" w:rsidP="00AF0790">
      <w:pPr>
        <w:ind w:left="0" w:firstLine="0"/>
        <w:jc w:val="both"/>
        <w:rPr>
          <w:b/>
          <w:sz w:val="28"/>
        </w:rPr>
      </w:pPr>
      <w:r>
        <w:rPr>
          <w:b/>
          <w:sz w:val="28"/>
        </w:rPr>
        <w:t xml:space="preserve"> </w:t>
      </w:r>
    </w:p>
    <w:p w:rsidR="00C51C9C" w:rsidRDefault="00C51C9C" w:rsidP="00704095">
      <w:pPr>
        <w:pStyle w:val="Paragraphedeliste"/>
        <w:numPr>
          <w:ilvl w:val="0"/>
          <w:numId w:val="1"/>
        </w:numPr>
        <w:jc w:val="both"/>
        <w:rPr>
          <w:b/>
          <w:sz w:val="28"/>
        </w:rPr>
      </w:pPr>
      <w:r w:rsidRPr="00704095">
        <w:rPr>
          <w:b/>
          <w:sz w:val="28"/>
        </w:rPr>
        <w:t xml:space="preserve">Ils </w:t>
      </w:r>
      <w:r w:rsidR="00704095" w:rsidRPr="00704095">
        <w:rPr>
          <w:b/>
          <w:sz w:val="28"/>
        </w:rPr>
        <w:t>ne peuvent pas maîtriser</w:t>
      </w:r>
      <w:r w:rsidRPr="00704095">
        <w:rPr>
          <w:b/>
          <w:sz w:val="28"/>
        </w:rPr>
        <w:t xml:space="preserve"> leur</w:t>
      </w:r>
      <w:r w:rsidR="00704095">
        <w:rPr>
          <w:b/>
          <w:sz w:val="28"/>
        </w:rPr>
        <w:t>s</w:t>
      </w:r>
      <w:r w:rsidRPr="00704095">
        <w:rPr>
          <w:b/>
          <w:sz w:val="28"/>
        </w:rPr>
        <w:t xml:space="preserve"> prix de vente</w:t>
      </w:r>
      <w:r w:rsidR="00704095">
        <w:rPr>
          <w:b/>
          <w:sz w:val="28"/>
        </w:rPr>
        <w:t xml:space="preserve"> qui sont fixés au niveau m</w:t>
      </w:r>
      <w:r w:rsidR="00704095" w:rsidRPr="00704095">
        <w:rPr>
          <w:b/>
          <w:sz w:val="28"/>
        </w:rPr>
        <w:t>ondial</w:t>
      </w:r>
      <w:r w:rsidR="00704095">
        <w:rPr>
          <w:b/>
          <w:sz w:val="28"/>
        </w:rPr>
        <w:t xml:space="preserve"> selon les aléas géopolitiques (guerre en Ukraine et au Moyen Orient)</w:t>
      </w:r>
    </w:p>
    <w:p w:rsidR="00704095" w:rsidRDefault="00704095" w:rsidP="00704095">
      <w:pPr>
        <w:pStyle w:val="Paragraphedeliste"/>
        <w:numPr>
          <w:ilvl w:val="0"/>
          <w:numId w:val="1"/>
        </w:numPr>
        <w:jc w:val="both"/>
        <w:rPr>
          <w:b/>
          <w:sz w:val="28"/>
        </w:rPr>
      </w:pPr>
      <w:r>
        <w:rPr>
          <w:b/>
          <w:sz w:val="28"/>
        </w:rPr>
        <w:t>Ils subissent les augmentations de charges : intrants, énergie, imposées également par les soubresauts géopolitiques (engrais et pétrole notamment).</w:t>
      </w:r>
    </w:p>
    <w:p w:rsidR="00513948" w:rsidRDefault="00513948" w:rsidP="00513948">
      <w:pPr>
        <w:ind w:left="0" w:firstLine="0"/>
        <w:jc w:val="both"/>
        <w:rPr>
          <w:b/>
          <w:sz w:val="28"/>
        </w:rPr>
      </w:pPr>
    </w:p>
    <w:p w:rsidR="00513948" w:rsidRDefault="00513948" w:rsidP="00513948">
      <w:pPr>
        <w:ind w:left="0" w:firstLine="0"/>
        <w:jc w:val="both"/>
        <w:rPr>
          <w:b/>
          <w:sz w:val="28"/>
        </w:rPr>
      </w:pPr>
      <w:r>
        <w:rPr>
          <w:b/>
          <w:sz w:val="28"/>
        </w:rPr>
        <w:t>Malheureusement, les agriculteurs ne peuvent pas répercuter leurs hausses de coût de production sur les prix de vente et le cumul de mauvaises années aboutit, tout naturellement à une augmentation des défaillances et faillites d’entreprises agricoles, soit + 21 % sur un an.</w:t>
      </w:r>
    </w:p>
    <w:p w:rsidR="0087763F" w:rsidRDefault="0087763F" w:rsidP="00513948">
      <w:pPr>
        <w:ind w:left="0" w:firstLine="0"/>
        <w:jc w:val="both"/>
        <w:rPr>
          <w:b/>
          <w:sz w:val="28"/>
        </w:rPr>
      </w:pPr>
    </w:p>
    <w:p w:rsidR="0087763F" w:rsidRDefault="0087763F" w:rsidP="00513948">
      <w:pPr>
        <w:ind w:left="0" w:firstLine="0"/>
        <w:jc w:val="both"/>
        <w:rPr>
          <w:b/>
          <w:sz w:val="28"/>
        </w:rPr>
      </w:pPr>
      <w:r>
        <w:rPr>
          <w:b/>
          <w:sz w:val="28"/>
        </w:rPr>
        <w:t xml:space="preserve">Que vont devenir les terres abandonnées par </w:t>
      </w:r>
      <w:r w:rsidR="00726EAC">
        <w:rPr>
          <w:b/>
          <w:sz w:val="28"/>
        </w:rPr>
        <w:t>leur exploitant ?</w:t>
      </w:r>
    </w:p>
    <w:p w:rsidR="00726EAC" w:rsidRDefault="00726EAC" w:rsidP="00513948">
      <w:pPr>
        <w:ind w:left="0" w:firstLine="0"/>
        <w:jc w:val="both"/>
        <w:rPr>
          <w:b/>
          <w:sz w:val="28"/>
        </w:rPr>
      </w:pPr>
      <w:r>
        <w:rPr>
          <w:b/>
          <w:sz w:val="28"/>
        </w:rPr>
        <w:t>Les nouvelles installations ne remplaceront jamais les départs (retraites et faillites).</w:t>
      </w:r>
    </w:p>
    <w:p w:rsidR="00726EAC" w:rsidRDefault="00726EAC" w:rsidP="00513948">
      <w:pPr>
        <w:ind w:left="0" w:firstLine="0"/>
        <w:jc w:val="both"/>
        <w:rPr>
          <w:b/>
          <w:sz w:val="28"/>
        </w:rPr>
      </w:pPr>
      <w:r>
        <w:rPr>
          <w:b/>
          <w:sz w:val="28"/>
        </w:rPr>
        <w:t>Les agrandissements existeront toujours, mais ils seront surtout opportunistes sur des terres suffisamment productives.</w:t>
      </w:r>
    </w:p>
    <w:p w:rsidR="00726EAC" w:rsidRDefault="00726EAC" w:rsidP="00513948">
      <w:pPr>
        <w:ind w:left="0" w:firstLine="0"/>
        <w:jc w:val="both"/>
        <w:rPr>
          <w:b/>
          <w:sz w:val="28"/>
        </w:rPr>
      </w:pPr>
    </w:p>
    <w:p w:rsidR="00726EAC" w:rsidRDefault="00726EAC" w:rsidP="00513948">
      <w:pPr>
        <w:ind w:left="0" w:firstLine="0"/>
        <w:jc w:val="both"/>
        <w:rPr>
          <w:b/>
          <w:sz w:val="28"/>
        </w:rPr>
      </w:pPr>
      <w:r>
        <w:rPr>
          <w:b/>
          <w:sz w:val="28"/>
        </w:rPr>
        <w:t>Plus haut, dans ce texte, nous avons réparti les rendements de 2026 selon la latitude du territoire.</w:t>
      </w:r>
    </w:p>
    <w:p w:rsidR="00726EAC" w:rsidRDefault="00726EAC" w:rsidP="00513948">
      <w:pPr>
        <w:ind w:left="0" w:firstLine="0"/>
        <w:jc w:val="both"/>
        <w:rPr>
          <w:b/>
          <w:sz w:val="28"/>
        </w:rPr>
      </w:pPr>
      <w:r>
        <w:rPr>
          <w:b/>
          <w:sz w:val="28"/>
        </w:rPr>
        <w:t>C’est un phénomène qui n’est pas prope à l’année 2026.</w:t>
      </w:r>
    </w:p>
    <w:p w:rsidR="00726EAC" w:rsidRDefault="00726EAC" w:rsidP="00513948">
      <w:pPr>
        <w:ind w:left="0" w:firstLine="0"/>
        <w:jc w:val="both"/>
        <w:rPr>
          <w:b/>
          <w:sz w:val="28"/>
        </w:rPr>
      </w:pPr>
      <w:r>
        <w:rPr>
          <w:b/>
          <w:sz w:val="28"/>
        </w:rPr>
        <w:t>La répartition présentée</w:t>
      </w:r>
      <w:r w:rsidR="00EB5B1A">
        <w:rPr>
          <w:b/>
          <w:sz w:val="28"/>
        </w:rPr>
        <w:t xml:space="preserve"> dépend avant tout du climat et de la qualité moyenne des sols.</w:t>
      </w:r>
    </w:p>
    <w:p w:rsidR="00EB5B1A" w:rsidRDefault="00EB5B1A" w:rsidP="00513948">
      <w:pPr>
        <w:ind w:left="0" w:firstLine="0"/>
        <w:jc w:val="both"/>
        <w:rPr>
          <w:b/>
          <w:sz w:val="28"/>
        </w:rPr>
      </w:pPr>
      <w:r>
        <w:rPr>
          <w:b/>
          <w:sz w:val="28"/>
        </w:rPr>
        <w:t>Il est facile de constater que plus on descend au sud de la France, plus les rendements moyens baissent, au point que l’on peut se demander s’il est encore intéressant de cultiver du blé en dessous de la Loire.</w:t>
      </w:r>
    </w:p>
    <w:p w:rsidR="00EB5B1A" w:rsidRDefault="00EB5B1A" w:rsidP="00513948">
      <w:pPr>
        <w:ind w:left="0" w:firstLine="0"/>
        <w:jc w:val="both"/>
        <w:rPr>
          <w:b/>
          <w:sz w:val="28"/>
        </w:rPr>
      </w:pPr>
      <w:r>
        <w:rPr>
          <w:b/>
          <w:sz w:val="28"/>
        </w:rPr>
        <w:t>Depuis déjà plusieurs années, il faut un rendement de 75 qx/ha au moins pour commencer à dégager un revenu.</w:t>
      </w:r>
    </w:p>
    <w:p w:rsidR="00EB5B1A" w:rsidRDefault="00EB5B1A" w:rsidP="00513948">
      <w:pPr>
        <w:ind w:left="0" w:firstLine="0"/>
        <w:jc w:val="both"/>
        <w:rPr>
          <w:b/>
          <w:sz w:val="28"/>
        </w:rPr>
      </w:pPr>
      <w:r>
        <w:rPr>
          <w:b/>
          <w:sz w:val="28"/>
        </w:rPr>
        <w:t>La carte de France des re</w:t>
      </w:r>
      <w:r w:rsidR="00EB5287">
        <w:rPr>
          <w:b/>
          <w:sz w:val="28"/>
        </w:rPr>
        <w:t>ndements est très significative.</w:t>
      </w:r>
    </w:p>
    <w:p w:rsidR="00EB5287" w:rsidRDefault="00EB5287" w:rsidP="00513948">
      <w:pPr>
        <w:ind w:left="0" w:firstLine="0"/>
        <w:jc w:val="both"/>
        <w:rPr>
          <w:b/>
          <w:sz w:val="28"/>
        </w:rPr>
      </w:pPr>
    </w:p>
    <w:p w:rsidR="00EB5287" w:rsidRDefault="00EB5287" w:rsidP="00513948">
      <w:pPr>
        <w:ind w:left="0" w:firstLine="0"/>
        <w:jc w:val="both"/>
        <w:rPr>
          <w:b/>
          <w:sz w:val="28"/>
        </w:rPr>
      </w:pPr>
      <w:r>
        <w:rPr>
          <w:b/>
          <w:sz w:val="28"/>
        </w:rPr>
        <w:t>Il s’agit d’un problème de fond, et c’est tout le financement de l’agriculture qui est en jeu.</w:t>
      </w:r>
    </w:p>
    <w:p w:rsidR="00EB5287" w:rsidRDefault="00EB5287" w:rsidP="00513948">
      <w:pPr>
        <w:ind w:left="0" w:firstLine="0"/>
        <w:jc w:val="both"/>
        <w:rPr>
          <w:b/>
          <w:sz w:val="28"/>
        </w:rPr>
      </w:pPr>
      <w:r>
        <w:rPr>
          <w:b/>
          <w:sz w:val="28"/>
        </w:rPr>
        <w:lastRenderedPageBreak/>
        <w:t xml:space="preserve"> Et c’est avant tout un problème politique à résoudre par 27 membres de l’Europe qui n’ont pas les mêmes objectifs et les mêmes besoins.</w:t>
      </w:r>
    </w:p>
    <w:p w:rsidR="00EB5287" w:rsidRDefault="00EB5287" w:rsidP="00513948">
      <w:pPr>
        <w:ind w:left="0" w:firstLine="0"/>
        <w:jc w:val="both"/>
        <w:rPr>
          <w:b/>
          <w:sz w:val="28"/>
        </w:rPr>
      </w:pPr>
    </w:p>
    <w:p w:rsidR="00EB5287" w:rsidRDefault="00EB5287" w:rsidP="00513948">
      <w:pPr>
        <w:ind w:left="0" w:firstLine="0"/>
        <w:jc w:val="both"/>
        <w:rPr>
          <w:b/>
          <w:sz w:val="28"/>
        </w:rPr>
      </w:pPr>
      <w:r>
        <w:rPr>
          <w:b/>
          <w:sz w:val="28"/>
        </w:rPr>
        <w:t>Si on ajoute la perspective de l’entrée en Europe de l’Ukraine, on ne fera qu’augmenter le</w:t>
      </w:r>
      <w:r w:rsidR="008C728C">
        <w:rPr>
          <w:b/>
          <w:sz w:val="28"/>
        </w:rPr>
        <w:t>s problè</w:t>
      </w:r>
      <w:r>
        <w:rPr>
          <w:b/>
          <w:sz w:val="28"/>
        </w:rPr>
        <w:t>mes des membres actuels !!!</w:t>
      </w:r>
    </w:p>
    <w:p w:rsidR="008C728C" w:rsidRDefault="008C728C" w:rsidP="00513948">
      <w:pPr>
        <w:ind w:left="0" w:firstLine="0"/>
        <w:jc w:val="both"/>
        <w:rPr>
          <w:b/>
          <w:sz w:val="28"/>
        </w:rPr>
      </w:pPr>
    </w:p>
    <w:p w:rsidR="008C728C" w:rsidRDefault="008C728C" w:rsidP="00513948">
      <w:pPr>
        <w:ind w:left="0" w:firstLine="0"/>
        <w:jc w:val="both"/>
        <w:rPr>
          <w:b/>
          <w:sz w:val="28"/>
        </w:rPr>
      </w:pPr>
      <w:r>
        <w:rPr>
          <w:b/>
          <w:sz w:val="28"/>
        </w:rPr>
        <w:t>Reste un problème qui passe inaperçu pour la société, pour les politiques, voire pour beaucoup de représentants des Propriétaires Privés Ruraux :</w:t>
      </w:r>
    </w:p>
    <w:p w:rsidR="008C728C" w:rsidRDefault="008C728C" w:rsidP="00513948">
      <w:pPr>
        <w:ind w:left="0" w:firstLine="0"/>
        <w:jc w:val="both"/>
        <w:rPr>
          <w:b/>
          <w:sz w:val="28"/>
        </w:rPr>
      </w:pPr>
    </w:p>
    <w:p w:rsidR="008C728C" w:rsidRDefault="008C728C" w:rsidP="00513948">
      <w:pPr>
        <w:ind w:left="0" w:firstLine="0"/>
        <w:jc w:val="both"/>
        <w:rPr>
          <w:b/>
          <w:sz w:val="40"/>
        </w:rPr>
      </w:pPr>
      <w:r w:rsidRPr="008C728C">
        <w:rPr>
          <w:b/>
          <w:sz w:val="40"/>
        </w:rPr>
        <w:t>Que vont devenir des millions d’hectares qui ne seront plus exploités ?</w:t>
      </w:r>
    </w:p>
    <w:p w:rsidR="008F57FF" w:rsidRDefault="008F57FF" w:rsidP="00513948">
      <w:pPr>
        <w:ind w:left="0" w:firstLine="0"/>
        <w:jc w:val="both"/>
        <w:rPr>
          <w:b/>
          <w:sz w:val="40"/>
        </w:rPr>
      </w:pPr>
    </w:p>
    <w:p w:rsidR="008F57FF" w:rsidRDefault="008F57FF" w:rsidP="00513948">
      <w:pPr>
        <w:ind w:left="0" w:firstLine="0"/>
        <w:jc w:val="both"/>
        <w:rPr>
          <w:b/>
          <w:sz w:val="40"/>
        </w:rPr>
      </w:pPr>
    </w:p>
    <w:p w:rsidR="008F57FF" w:rsidRDefault="008F57FF" w:rsidP="00513948">
      <w:pPr>
        <w:ind w:left="0" w:firstLine="0"/>
        <w:jc w:val="both"/>
        <w:rPr>
          <w:b/>
          <w:sz w:val="40"/>
        </w:rPr>
      </w:pPr>
    </w:p>
    <w:p w:rsidR="008F57FF" w:rsidRPr="008F57FF" w:rsidRDefault="008F57FF" w:rsidP="00513948">
      <w:pPr>
        <w:ind w:left="0" w:firstLine="0"/>
        <w:jc w:val="both"/>
        <w:rPr>
          <w:b/>
          <w:sz w:val="32"/>
        </w:rPr>
      </w:pPr>
      <w:r w:rsidRPr="008F57FF">
        <w:rPr>
          <w:b/>
          <w:sz w:val="32"/>
        </w:rPr>
        <w:t>SDPPR 79</w:t>
      </w:r>
    </w:p>
    <w:p w:rsidR="008F57FF" w:rsidRPr="008F57FF" w:rsidRDefault="008F57FF" w:rsidP="00513948">
      <w:pPr>
        <w:ind w:left="0" w:firstLine="0"/>
        <w:jc w:val="both"/>
        <w:rPr>
          <w:b/>
          <w:sz w:val="32"/>
        </w:rPr>
      </w:pPr>
      <w:r w:rsidRPr="008F57FF">
        <w:rPr>
          <w:b/>
          <w:sz w:val="32"/>
        </w:rPr>
        <w:t>Mise à jour : juillet 2026</w:t>
      </w:r>
    </w:p>
    <w:p w:rsidR="00EB5287" w:rsidRDefault="00EB5287" w:rsidP="00513948">
      <w:pPr>
        <w:ind w:left="0" w:firstLine="0"/>
        <w:jc w:val="both"/>
        <w:rPr>
          <w:b/>
          <w:sz w:val="28"/>
        </w:rPr>
      </w:pPr>
    </w:p>
    <w:p w:rsidR="00EB5287" w:rsidRPr="00513948" w:rsidRDefault="00EB5287" w:rsidP="00513948">
      <w:pPr>
        <w:ind w:left="0" w:firstLine="0"/>
        <w:jc w:val="both"/>
        <w:rPr>
          <w:b/>
          <w:sz w:val="28"/>
        </w:rPr>
      </w:pPr>
    </w:p>
    <w:p w:rsidR="00AD06CE" w:rsidRPr="007B4186" w:rsidRDefault="00AD06CE" w:rsidP="00043012">
      <w:pPr>
        <w:jc w:val="both"/>
        <w:rPr>
          <w:b/>
          <w:sz w:val="28"/>
        </w:rPr>
      </w:pPr>
    </w:p>
    <w:sectPr w:rsidR="00AD06CE" w:rsidRPr="007B4186" w:rsidSect="00C51C9C">
      <w:headerReference w:type="even" r:id="rId7"/>
      <w:headerReference w:type="default" r:id="rId8"/>
      <w:footerReference w:type="even" r:id="rId9"/>
      <w:footerReference w:type="default" r:id="rId10"/>
      <w:headerReference w:type="first" r:id="rId11"/>
      <w:footerReference w:type="first" r:id="rId12"/>
      <w:pgSz w:w="11906" w:h="16838"/>
      <w:pgMar w:top="1417"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369" w:rsidRDefault="002B4369" w:rsidP="00096A1E">
      <w:r>
        <w:separator/>
      </w:r>
    </w:p>
  </w:endnote>
  <w:endnote w:type="continuationSeparator" w:id="1">
    <w:p w:rsidR="002B4369" w:rsidRDefault="002B4369" w:rsidP="00096A1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A1E" w:rsidRDefault="00096A1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A1E" w:rsidRDefault="00096A1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A1E" w:rsidRDefault="00096A1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369" w:rsidRDefault="002B4369" w:rsidP="00096A1E">
      <w:r>
        <w:separator/>
      </w:r>
    </w:p>
  </w:footnote>
  <w:footnote w:type="continuationSeparator" w:id="1">
    <w:p w:rsidR="002B4369" w:rsidRDefault="002B4369" w:rsidP="00096A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A1E" w:rsidRDefault="00096A1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781735"/>
      <w:docPartObj>
        <w:docPartGallery w:val="Page Numbers (Top of Page)"/>
        <w:docPartUnique/>
      </w:docPartObj>
    </w:sdtPr>
    <w:sdtContent>
      <w:p w:rsidR="00096A1E" w:rsidRDefault="00526614">
        <w:pPr>
          <w:pStyle w:val="En-tte"/>
          <w:jc w:val="right"/>
        </w:pPr>
        <w:fldSimple w:instr=" PAGE   \* MERGEFORMAT ">
          <w:r w:rsidR="008F57FF">
            <w:rPr>
              <w:noProof/>
            </w:rPr>
            <w:t>4</w:t>
          </w:r>
        </w:fldSimple>
      </w:p>
    </w:sdtContent>
  </w:sdt>
  <w:p w:rsidR="00096A1E" w:rsidRDefault="00096A1E">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A1E" w:rsidRDefault="00096A1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89197F"/>
    <w:multiLevelType w:val="hybridMultilevel"/>
    <w:tmpl w:val="7A6AB780"/>
    <w:lvl w:ilvl="0" w:tplc="E0F6F604">
      <w:numFmt w:val="bullet"/>
      <w:lvlText w:val="-"/>
      <w:lvlJc w:val="left"/>
      <w:pPr>
        <w:ind w:left="381" w:hanging="360"/>
      </w:pPr>
      <w:rPr>
        <w:rFonts w:ascii="Arial" w:eastAsia="Times New Roman" w:hAnsi="Arial" w:cs="Arial" w:hint="default"/>
      </w:rPr>
    </w:lvl>
    <w:lvl w:ilvl="1" w:tplc="040C0003" w:tentative="1">
      <w:start w:val="1"/>
      <w:numFmt w:val="bullet"/>
      <w:lvlText w:val="o"/>
      <w:lvlJc w:val="left"/>
      <w:pPr>
        <w:ind w:left="1101" w:hanging="360"/>
      </w:pPr>
      <w:rPr>
        <w:rFonts w:ascii="Courier New" w:hAnsi="Courier New" w:cs="Courier New" w:hint="default"/>
      </w:rPr>
    </w:lvl>
    <w:lvl w:ilvl="2" w:tplc="040C0005" w:tentative="1">
      <w:start w:val="1"/>
      <w:numFmt w:val="bullet"/>
      <w:lvlText w:val=""/>
      <w:lvlJc w:val="left"/>
      <w:pPr>
        <w:ind w:left="1821" w:hanging="360"/>
      </w:pPr>
      <w:rPr>
        <w:rFonts w:ascii="Wingdings" w:hAnsi="Wingdings" w:hint="default"/>
      </w:rPr>
    </w:lvl>
    <w:lvl w:ilvl="3" w:tplc="040C0001" w:tentative="1">
      <w:start w:val="1"/>
      <w:numFmt w:val="bullet"/>
      <w:lvlText w:val=""/>
      <w:lvlJc w:val="left"/>
      <w:pPr>
        <w:ind w:left="2541" w:hanging="360"/>
      </w:pPr>
      <w:rPr>
        <w:rFonts w:ascii="Symbol" w:hAnsi="Symbol" w:hint="default"/>
      </w:rPr>
    </w:lvl>
    <w:lvl w:ilvl="4" w:tplc="040C0003" w:tentative="1">
      <w:start w:val="1"/>
      <w:numFmt w:val="bullet"/>
      <w:lvlText w:val="o"/>
      <w:lvlJc w:val="left"/>
      <w:pPr>
        <w:ind w:left="3261" w:hanging="360"/>
      </w:pPr>
      <w:rPr>
        <w:rFonts w:ascii="Courier New" w:hAnsi="Courier New" w:cs="Courier New" w:hint="default"/>
      </w:rPr>
    </w:lvl>
    <w:lvl w:ilvl="5" w:tplc="040C0005" w:tentative="1">
      <w:start w:val="1"/>
      <w:numFmt w:val="bullet"/>
      <w:lvlText w:val=""/>
      <w:lvlJc w:val="left"/>
      <w:pPr>
        <w:ind w:left="3981" w:hanging="360"/>
      </w:pPr>
      <w:rPr>
        <w:rFonts w:ascii="Wingdings" w:hAnsi="Wingdings" w:hint="default"/>
      </w:rPr>
    </w:lvl>
    <w:lvl w:ilvl="6" w:tplc="040C0001" w:tentative="1">
      <w:start w:val="1"/>
      <w:numFmt w:val="bullet"/>
      <w:lvlText w:val=""/>
      <w:lvlJc w:val="left"/>
      <w:pPr>
        <w:ind w:left="4701" w:hanging="360"/>
      </w:pPr>
      <w:rPr>
        <w:rFonts w:ascii="Symbol" w:hAnsi="Symbol" w:hint="default"/>
      </w:rPr>
    </w:lvl>
    <w:lvl w:ilvl="7" w:tplc="040C0003" w:tentative="1">
      <w:start w:val="1"/>
      <w:numFmt w:val="bullet"/>
      <w:lvlText w:val="o"/>
      <w:lvlJc w:val="left"/>
      <w:pPr>
        <w:ind w:left="5421" w:hanging="360"/>
      </w:pPr>
      <w:rPr>
        <w:rFonts w:ascii="Courier New" w:hAnsi="Courier New" w:cs="Courier New" w:hint="default"/>
      </w:rPr>
    </w:lvl>
    <w:lvl w:ilvl="8" w:tplc="040C0005" w:tentative="1">
      <w:start w:val="1"/>
      <w:numFmt w:val="bullet"/>
      <w:lvlText w:val=""/>
      <w:lvlJc w:val="left"/>
      <w:pPr>
        <w:ind w:left="614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43012"/>
    <w:rsid w:val="00043012"/>
    <w:rsid w:val="00096A1E"/>
    <w:rsid w:val="00196F5F"/>
    <w:rsid w:val="001B39AC"/>
    <w:rsid w:val="002B4369"/>
    <w:rsid w:val="003F5913"/>
    <w:rsid w:val="00487AB9"/>
    <w:rsid w:val="00513948"/>
    <w:rsid w:val="00526614"/>
    <w:rsid w:val="006C6FDB"/>
    <w:rsid w:val="00704095"/>
    <w:rsid w:val="00726EAC"/>
    <w:rsid w:val="00727EEA"/>
    <w:rsid w:val="007B4186"/>
    <w:rsid w:val="0087763F"/>
    <w:rsid w:val="008C728C"/>
    <w:rsid w:val="008F4FA3"/>
    <w:rsid w:val="008F57FF"/>
    <w:rsid w:val="009B1E51"/>
    <w:rsid w:val="00A84476"/>
    <w:rsid w:val="00AD06CE"/>
    <w:rsid w:val="00AF0790"/>
    <w:rsid w:val="00B73E18"/>
    <w:rsid w:val="00BB0B4B"/>
    <w:rsid w:val="00C21C1E"/>
    <w:rsid w:val="00C51C9C"/>
    <w:rsid w:val="00CA60EC"/>
    <w:rsid w:val="00D84F4F"/>
    <w:rsid w:val="00EB5287"/>
    <w:rsid w:val="00EB5B1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284"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C1E"/>
  </w:style>
  <w:style w:type="paragraph" w:styleId="Titre1">
    <w:name w:val="heading 1"/>
    <w:basedOn w:val="Normal"/>
    <w:link w:val="Titre1Car"/>
    <w:uiPriority w:val="9"/>
    <w:qFormat/>
    <w:rsid w:val="00043012"/>
    <w:pPr>
      <w:spacing w:before="100" w:beforeAutospacing="1" w:after="100" w:afterAutospacing="1"/>
      <w:ind w:left="0" w:firstLine="0"/>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043012"/>
    <w:pPr>
      <w:spacing w:before="100" w:beforeAutospacing="1" w:after="100" w:afterAutospacing="1"/>
      <w:ind w:left="0" w:firstLine="0"/>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43012"/>
    <w:pPr>
      <w:spacing w:before="100" w:beforeAutospacing="1" w:after="100" w:afterAutospacing="1"/>
      <w:ind w:left="0" w:firstLine="0"/>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43012"/>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043012"/>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43012"/>
    <w:rPr>
      <w:rFonts w:ascii="Times New Roman" w:eastAsia="Times New Roman" w:hAnsi="Times New Roman" w:cs="Times New Roman"/>
      <w:b/>
      <w:bCs/>
      <w:sz w:val="27"/>
      <w:szCs w:val="27"/>
      <w:lang w:eastAsia="fr-FR"/>
    </w:rPr>
  </w:style>
  <w:style w:type="character" w:customStyle="1" w:styleId="titre">
    <w:name w:val="titre"/>
    <w:basedOn w:val="Policepardfaut"/>
    <w:rsid w:val="00043012"/>
  </w:style>
  <w:style w:type="character" w:customStyle="1" w:styleId="article-author">
    <w:name w:val="article-author"/>
    <w:basedOn w:val="Policepardfaut"/>
    <w:rsid w:val="00043012"/>
  </w:style>
  <w:style w:type="character" w:styleId="Lienhypertexte">
    <w:name w:val="Hyperlink"/>
    <w:basedOn w:val="Policepardfaut"/>
    <w:uiPriority w:val="99"/>
    <w:semiHidden/>
    <w:unhideWhenUsed/>
    <w:rsid w:val="00043012"/>
    <w:rPr>
      <w:color w:val="0000FF"/>
      <w:u w:val="single"/>
    </w:rPr>
  </w:style>
  <w:style w:type="character" w:customStyle="1" w:styleId="article-meta">
    <w:name w:val="article-meta"/>
    <w:basedOn w:val="Policepardfaut"/>
    <w:rsid w:val="00043012"/>
  </w:style>
  <w:style w:type="paragraph" w:customStyle="1" w:styleId="article-intro">
    <w:name w:val="article-intro"/>
    <w:basedOn w:val="Normal"/>
    <w:rsid w:val="00043012"/>
    <w:pPr>
      <w:spacing w:before="100" w:beforeAutospacing="1" w:after="100" w:afterAutospacing="1"/>
      <w:ind w:left="0" w:firstLine="0"/>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043012"/>
    <w:pPr>
      <w:spacing w:before="100" w:beforeAutospacing="1" w:after="100" w:afterAutospacing="1"/>
      <w:ind w:left="0" w:firstLine="0"/>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43012"/>
    <w:rPr>
      <w:b/>
      <w:bCs/>
    </w:rPr>
  </w:style>
  <w:style w:type="character" w:customStyle="1" w:styleId="bg-white">
    <w:name w:val="bg-white"/>
    <w:basedOn w:val="Policepardfaut"/>
    <w:rsid w:val="00043012"/>
  </w:style>
  <w:style w:type="paragraph" w:styleId="z-Hautduformulaire">
    <w:name w:val="HTML Top of Form"/>
    <w:basedOn w:val="Normal"/>
    <w:next w:val="Normal"/>
    <w:link w:val="z-HautduformulaireCar"/>
    <w:hidden/>
    <w:uiPriority w:val="99"/>
    <w:semiHidden/>
    <w:unhideWhenUsed/>
    <w:rsid w:val="00043012"/>
    <w:pPr>
      <w:pBdr>
        <w:bottom w:val="single" w:sz="6" w:space="1" w:color="auto"/>
      </w:pBdr>
      <w:ind w:left="0" w:firstLine="0"/>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043012"/>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043012"/>
    <w:pPr>
      <w:pBdr>
        <w:top w:val="single" w:sz="6" w:space="1" w:color="auto"/>
      </w:pBdr>
      <w:ind w:left="0" w:firstLine="0"/>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043012"/>
    <w:rPr>
      <w:rFonts w:ascii="Arial" w:eastAsia="Times New Roman" w:hAnsi="Arial" w:cs="Arial"/>
      <w:vanish/>
      <w:sz w:val="16"/>
      <w:szCs w:val="16"/>
      <w:lang w:eastAsia="fr-FR"/>
    </w:rPr>
  </w:style>
  <w:style w:type="paragraph" w:styleId="Textedebulles">
    <w:name w:val="Balloon Text"/>
    <w:basedOn w:val="Normal"/>
    <w:link w:val="TextedebullesCar"/>
    <w:uiPriority w:val="99"/>
    <w:semiHidden/>
    <w:unhideWhenUsed/>
    <w:rsid w:val="00043012"/>
    <w:rPr>
      <w:rFonts w:ascii="Tahoma" w:hAnsi="Tahoma" w:cs="Tahoma"/>
      <w:sz w:val="16"/>
      <w:szCs w:val="16"/>
    </w:rPr>
  </w:style>
  <w:style w:type="character" w:customStyle="1" w:styleId="TextedebullesCar">
    <w:name w:val="Texte de bulles Car"/>
    <w:basedOn w:val="Policepardfaut"/>
    <w:link w:val="Textedebulles"/>
    <w:uiPriority w:val="99"/>
    <w:semiHidden/>
    <w:rsid w:val="00043012"/>
    <w:rPr>
      <w:rFonts w:ascii="Tahoma" w:hAnsi="Tahoma" w:cs="Tahoma"/>
      <w:sz w:val="16"/>
      <w:szCs w:val="16"/>
    </w:rPr>
  </w:style>
  <w:style w:type="paragraph" w:styleId="Paragraphedeliste">
    <w:name w:val="List Paragraph"/>
    <w:basedOn w:val="Normal"/>
    <w:uiPriority w:val="34"/>
    <w:qFormat/>
    <w:rsid w:val="008F4FA3"/>
    <w:pPr>
      <w:ind w:left="720"/>
      <w:contextualSpacing/>
    </w:pPr>
  </w:style>
  <w:style w:type="paragraph" w:styleId="En-tte">
    <w:name w:val="header"/>
    <w:basedOn w:val="Normal"/>
    <w:link w:val="En-tteCar"/>
    <w:uiPriority w:val="99"/>
    <w:unhideWhenUsed/>
    <w:rsid w:val="00096A1E"/>
    <w:pPr>
      <w:tabs>
        <w:tab w:val="center" w:pos="4536"/>
        <w:tab w:val="right" w:pos="9072"/>
      </w:tabs>
    </w:pPr>
  </w:style>
  <w:style w:type="character" w:customStyle="1" w:styleId="En-tteCar">
    <w:name w:val="En-tête Car"/>
    <w:basedOn w:val="Policepardfaut"/>
    <w:link w:val="En-tte"/>
    <w:uiPriority w:val="99"/>
    <w:rsid w:val="00096A1E"/>
  </w:style>
  <w:style w:type="paragraph" w:styleId="Pieddepage">
    <w:name w:val="footer"/>
    <w:basedOn w:val="Normal"/>
    <w:link w:val="PieddepageCar"/>
    <w:uiPriority w:val="99"/>
    <w:semiHidden/>
    <w:unhideWhenUsed/>
    <w:rsid w:val="00096A1E"/>
    <w:pPr>
      <w:tabs>
        <w:tab w:val="center" w:pos="4536"/>
        <w:tab w:val="right" w:pos="9072"/>
      </w:tabs>
    </w:pPr>
  </w:style>
  <w:style w:type="character" w:customStyle="1" w:styleId="PieddepageCar">
    <w:name w:val="Pied de page Car"/>
    <w:basedOn w:val="Policepardfaut"/>
    <w:link w:val="Pieddepage"/>
    <w:uiPriority w:val="99"/>
    <w:semiHidden/>
    <w:rsid w:val="00096A1E"/>
  </w:style>
</w:styles>
</file>

<file path=word/webSettings.xml><?xml version="1.0" encoding="utf-8"?>
<w:webSettings xmlns:r="http://schemas.openxmlformats.org/officeDocument/2006/relationships" xmlns:w="http://schemas.openxmlformats.org/wordprocessingml/2006/main">
  <w:divs>
    <w:div w:id="1836609953">
      <w:bodyDiv w:val="1"/>
      <w:marLeft w:val="0"/>
      <w:marRight w:val="0"/>
      <w:marTop w:val="0"/>
      <w:marBottom w:val="0"/>
      <w:divBdr>
        <w:top w:val="none" w:sz="0" w:space="0" w:color="auto"/>
        <w:left w:val="none" w:sz="0" w:space="0" w:color="auto"/>
        <w:bottom w:val="none" w:sz="0" w:space="0" w:color="auto"/>
        <w:right w:val="none" w:sz="0" w:space="0" w:color="auto"/>
      </w:divBdr>
      <w:divsChild>
        <w:div w:id="1550146274">
          <w:marLeft w:val="0"/>
          <w:marRight w:val="0"/>
          <w:marTop w:val="0"/>
          <w:marBottom w:val="0"/>
          <w:divBdr>
            <w:top w:val="none" w:sz="0" w:space="0" w:color="auto"/>
            <w:left w:val="none" w:sz="0" w:space="0" w:color="auto"/>
            <w:bottom w:val="none" w:sz="0" w:space="0" w:color="auto"/>
            <w:right w:val="none" w:sz="0" w:space="0" w:color="auto"/>
          </w:divBdr>
          <w:divsChild>
            <w:div w:id="616716386">
              <w:marLeft w:val="-129"/>
              <w:marRight w:val="-129"/>
              <w:marTop w:val="0"/>
              <w:marBottom w:val="0"/>
              <w:divBdr>
                <w:top w:val="none" w:sz="0" w:space="0" w:color="auto"/>
                <w:left w:val="none" w:sz="0" w:space="0" w:color="auto"/>
                <w:bottom w:val="none" w:sz="0" w:space="0" w:color="auto"/>
                <w:right w:val="none" w:sz="0" w:space="0" w:color="auto"/>
              </w:divBdr>
              <w:divsChild>
                <w:div w:id="1490176347">
                  <w:marLeft w:val="0"/>
                  <w:marRight w:val="0"/>
                  <w:marTop w:val="0"/>
                  <w:marBottom w:val="0"/>
                  <w:divBdr>
                    <w:top w:val="none" w:sz="0" w:space="0" w:color="auto"/>
                    <w:left w:val="none" w:sz="0" w:space="0" w:color="auto"/>
                    <w:bottom w:val="none" w:sz="0" w:space="0" w:color="auto"/>
                    <w:right w:val="none" w:sz="0" w:space="0" w:color="auto"/>
                  </w:divBdr>
                </w:div>
                <w:div w:id="9763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80181">
          <w:marLeft w:val="0"/>
          <w:marRight w:val="0"/>
          <w:marTop w:val="0"/>
          <w:marBottom w:val="0"/>
          <w:divBdr>
            <w:top w:val="none" w:sz="0" w:space="0" w:color="auto"/>
            <w:left w:val="none" w:sz="0" w:space="0" w:color="auto"/>
            <w:bottom w:val="none" w:sz="0" w:space="0" w:color="auto"/>
            <w:right w:val="none" w:sz="0" w:space="0" w:color="auto"/>
          </w:divBdr>
          <w:divsChild>
            <w:div w:id="926383624">
              <w:marLeft w:val="-129"/>
              <w:marRight w:val="-129"/>
              <w:marTop w:val="0"/>
              <w:marBottom w:val="0"/>
              <w:divBdr>
                <w:top w:val="none" w:sz="0" w:space="0" w:color="auto"/>
                <w:left w:val="none" w:sz="0" w:space="0" w:color="auto"/>
                <w:bottom w:val="none" w:sz="0" w:space="0" w:color="auto"/>
                <w:right w:val="none" w:sz="0" w:space="0" w:color="auto"/>
              </w:divBdr>
              <w:divsChild>
                <w:div w:id="290332947">
                  <w:marLeft w:val="0"/>
                  <w:marRight w:val="0"/>
                  <w:marTop w:val="0"/>
                  <w:marBottom w:val="0"/>
                  <w:divBdr>
                    <w:top w:val="none" w:sz="0" w:space="0" w:color="auto"/>
                    <w:left w:val="none" w:sz="0" w:space="0" w:color="auto"/>
                    <w:bottom w:val="none" w:sz="0" w:space="0" w:color="auto"/>
                    <w:right w:val="none" w:sz="0" w:space="0" w:color="auto"/>
                  </w:divBdr>
                  <w:divsChild>
                    <w:div w:id="1451973889">
                      <w:marLeft w:val="0"/>
                      <w:marRight w:val="0"/>
                      <w:marTop w:val="0"/>
                      <w:marBottom w:val="0"/>
                      <w:divBdr>
                        <w:top w:val="none" w:sz="0" w:space="0" w:color="auto"/>
                        <w:left w:val="none" w:sz="0" w:space="0" w:color="auto"/>
                        <w:bottom w:val="none" w:sz="0" w:space="0" w:color="auto"/>
                        <w:right w:val="none" w:sz="0" w:space="0" w:color="auto"/>
                      </w:divBdr>
                      <w:divsChild>
                        <w:div w:id="6228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9152">
                  <w:marLeft w:val="0"/>
                  <w:marRight w:val="0"/>
                  <w:marTop w:val="0"/>
                  <w:marBottom w:val="0"/>
                  <w:divBdr>
                    <w:top w:val="none" w:sz="0" w:space="0" w:color="auto"/>
                    <w:left w:val="none" w:sz="0" w:space="0" w:color="auto"/>
                    <w:bottom w:val="none" w:sz="0" w:space="0" w:color="auto"/>
                    <w:right w:val="none" w:sz="0" w:space="0" w:color="auto"/>
                  </w:divBdr>
                  <w:divsChild>
                    <w:div w:id="306739779">
                      <w:marLeft w:val="-129"/>
                      <w:marRight w:val="-129"/>
                      <w:marTop w:val="0"/>
                      <w:marBottom w:val="0"/>
                      <w:divBdr>
                        <w:top w:val="none" w:sz="0" w:space="0" w:color="auto"/>
                        <w:left w:val="none" w:sz="0" w:space="0" w:color="auto"/>
                        <w:bottom w:val="none" w:sz="0" w:space="0" w:color="auto"/>
                        <w:right w:val="none" w:sz="0" w:space="0" w:color="auto"/>
                      </w:divBdr>
                      <w:divsChild>
                        <w:div w:id="173037704">
                          <w:marLeft w:val="0"/>
                          <w:marRight w:val="0"/>
                          <w:marTop w:val="0"/>
                          <w:marBottom w:val="0"/>
                          <w:divBdr>
                            <w:top w:val="none" w:sz="0" w:space="0" w:color="auto"/>
                            <w:left w:val="none" w:sz="0" w:space="0" w:color="auto"/>
                            <w:bottom w:val="none" w:sz="0" w:space="0" w:color="auto"/>
                            <w:right w:val="none" w:sz="0" w:space="0" w:color="auto"/>
                          </w:divBdr>
                          <w:divsChild>
                            <w:div w:id="1976443713">
                              <w:marLeft w:val="0"/>
                              <w:marRight w:val="0"/>
                              <w:marTop w:val="0"/>
                              <w:marBottom w:val="0"/>
                              <w:divBdr>
                                <w:top w:val="single" w:sz="4" w:space="2" w:color="EF851A"/>
                                <w:left w:val="single" w:sz="4" w:space="0" w:color="EF851A"/>
                                <w:bottom w:val="single" w:sz="4" w:space="2" w:color="EF851A"/>
                                <w:right w:val="single" w:sz="4" w:space="0" w:color="EF851A"/>
                              </w:divBdr>
                            </w:div>
                          </w:divsChild>
                        </w:div>
                        <w:div w:id="1323852904">
                          <w:marLeft w:val="0"/>
                          <w:marRight w:val="0"/>
                          <w:marTop w:val="0"/>
                          <w:marBottom w:val="0"/>
                          <w:divBdr>
                            <w:top w:val="none" w:sz="0" w:space="0" w:color="auto"/>
                            <w:left w:val="none" w:sz="0" w:space="0" w:color="auto"/>
                            <w:bottom w:val="none" w:sz="0" w:space="0" w:color="auto"/>
                            <w:right w:val="none" w:sz="0" w:space="0" w:color="auto"/>
                          </w:divBdr>
                          <w:divsChild>
                            <w:div w:id="36667036">
                              <w:marLeft w:val="0"/>
                              <w:marRight w:val="0"/>
                              <w:marTop w:val="0"/>
                              <w:marBottom w:val="0"/>
                              <w:divBdr>
                                <w:top w:val="single" w:sz="4" w:space="2" w:color="EF851A"/>
                                <w:left w:val="single" w:sz="4" w:space="0" w:color="EF851A"/>
                                <w:bottom w:val="single" w:sz="4" w:space="2" w:color="EF851A"/>
                                <w:right w:val="single" w:sz="4" w:space="0" w:color="EF851A"/>
                              </w:divBdr>
                            </w:div>
                          </w:divsChild>
                        </w:div>
                      </w:divsChild>
                    </w:div>
                  </w:divsChild>
                </w:div>
                <w:div w:id="907954432">
                  <w:marLeft w:val="0"/>
                  <w:marRight w:val="0"/>
                  <w:marTop w:val="0"/>
                  <w:marBottom w:val="0"/>
                  <w:divBdr>
                    <w:top w:val="none" w:sz="0" w:space="0" w:color="auto"/>
                    <w:left w:val="none" w:sz="0" w:space="0" w:color="auto"/>
                    <w:bottom w:val="none" w:sz="0" w:space="0" w:color="auto"/>
                    <w:right w:val="none" w:sz="0" w:space="0" w:color="auto"/>
                  </w:divBdr>
                  <w:divsChild>
                    <w:div w:id="2000495095">
                      <w:marLeft w:val="0"/>
                      <w:marRight w:val="0"/>
                      <w:marTop w:val="0"/>
                      <w:marBottom w:val="86"/>
                      <w:divBdr>
                        <w:top w:val="none" w:sz="0" w:space="0" w:color="auto"/>
                        <w:left w:val="none" w:sz="0" w:space="0" w:color="auto"/>
                        <w:bottom w:val="none" w:sz="0" w:space="0" w:color="auto"/>
                        <w:right w:val="none" w:sz="0" w:space="0" w:color="auto"/>
                      </w:divBdr>
                    </w:div>
                    <w:div w:id="197857846">
                      <w:marLeft w:val="0"/>
                      <w:marRight w:val="0"/>
                      <w:marTop w:val="0"/>
                      <w:marBottom w:val="0"/>
                      <w:divBdr>
                        <w:top w:val="none" w:sz="0" w:space="0" w:color="auto"/>
                        <w:left w:val="none" w:sz="0" w:space="0" w:color="auto"/>
                        <w:bottom w:val="none" w:sz="0" w:space="0" w:color="auto"/>
                        <w:right w:val="none" w:sz="0" w:space="0" w:color="auto"/>
                      </w:divBdr>
                      <w:divsChild>
                        <w:div w:id="685056997">
                          <w:marLeft w:val="0"/>
                          <w:marRight w:val="0"/>
                          <w:marTop w:val="0"/>
                          <w:marBottom w:val="0"/>
                          <w:divBdr>
                            <w:top w:val="none" w:sz="0" w:space="0" w:color="auto"/>
                            <w:left w:val="none" w:sz="0" w:space="0" w:color="auto"/>
                            <w:bottom w:val="none" w:sz="0" w:space="0" w:color="auto"/>
                            <w:right w:val="none" w:sz="0" w:space="0" w:color="auto"/>
                          </w:divBdr>
                          <w:divsChild>
                            <w:div w:id="21438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56492">
                  <w:marLeft w:val="0"/>
                  <w:marRight w:val="0"/>
                  <w:marTop w:val="0"/>
                  <w:marBottom w:val="0"/>
                  <w:divBdr>
                    <w:top w:val="none" w:sz="0" w:space="0" w:color="auto"/>
                    <w:left w:val="none" w:sz="0" w:space="0" w:color="auto"/>
                    <w:bottom w:val="none" w:sz="0" w:space="0" w:color="auto"/>
                    <w:right w:val="none" w:sz="0" w:space="0" w:color="auto"/>
                  </w:divBdr>
                  <w:divsChild>
                    <w:div w:id="1070808821">
                      <w:marLeft w:val="0"/>
                      <w:marRight w:val="0"/>
                      <w:marTop w:val="0"/>
                      <w:marBottom w:val="0"/>
                      <w:divBdr>
                        <w:top w:val="none" w:sz="0" w:space="0" w:color="auto"/>
                        <w:left w:val="none" w:sz="0" w:space="0" w:color="auto"/>
                        <w:bottom w:val="none" w:sz="0" w:space="0" w:color="auto"/>
                        <w:right w:val="none" w:sz="0" w:space="0" w:color="auto"/>
                      </w:divBdr>
                      <w:divsChild>
                        <w:div w:id="825173016">
                          <w:marLeft w:val="0"/>
                          <w:marRight w:val="0"/>
                          <w:marTop w:val="0"/>
                          <w:marBottom w:val="0"/>
                          <w:divBdr>
                            <w:top w:val="single" w:sz="4" w:space="0" w:color="D8D8D8"/>
                            <w:left w:val="single" w:sz="4" w:space="0" w:color="D8D8D8"/>
                            <w:bottom w:val="single" w:sz="4" w:space="0" w:color="D8D8D8"/>
                            <w:right w:val="single" w:sz="4" w:space="0" w:color="D8D8D8"/>
                          </w:divBdr>
                          <w:divsChild>
                            <w:div w:id="354233590">
                              <w:marLeft w:val="0"/>
                              <w:marRight w:val="0"/>
                              <w:marTop w:val="0"/>
                              <w:marBottom w:val="0"/>
                              <w:divBdr>
                                <w:top w:val="none" w:sz="0" w:space="0" w:color="auto"/>
                                <w:left w:val="none" w:sz="0" w:space="0" w:color="auto"/>
                                <w:bottom w:val="single" w:sz="8" w:space="5" w:color="D8D8D8"/>
                                <w:right w:val="none" w:sz="0" w:space="0" w:color="auto"/>
                              </w:divBdr>
                            </w:div>
                            <w:div w:id="688486760">
                              <w:marLeft w:val="0"/>
                              <w:marRight w:val="0"/>
                              <w:marTop w:val="0"/>
                              <w:marBottom w:val="0"/>
                              <w:divBdr>
                                <w:top w:val="none" w:sz="0" w:space="0" w:color="auto"/>
                                <w:left w:val="none" w:sz="0" w:space="0" w:color="auto"/>
                                <w:bottom w:val="none" w:sz="0" w:space="0" w:color="auto"/>
                                <w:right w:val="none" w:sz="0" w:space="0" w:color="auto"/>
                              </w:divBdr>
                              <w:divsChild>
                                <w:div w:id="1585072192">
                                  <w:marLeft w:val="0"/>
                                  <w:marRight w:val="0"/>
                                  <w:marTop w:val="0"/>
                                  <w:marBottom w:val="0"/>
                                  <w:divBdr>
                                    <w:top w:val="none" w:sz="0" w:space="0" w:color="auto"/>
                                    <w:left w:val="none" w:sz="0" w:space="0" w:color="auto"/>
                                    <w:bottom w:val="none" w:sz="0" w:space="0" w:color="auto"/>
                                    <w:right w:val="none" w:sz="0" w:space="0" w:color="auto"/>
                                  </w:divBdr>
                                </w:div>
                                <w:div w:id="1241211804">
                                  <w:marLeft w:val="0"/>
                                  <w:marRight w:val="0"/>
                                  <w:marTop w:val="0"/>
                                  <w:marBottom w:val="0"/>
                                  <w:divBdr>
                                    <w:top w:val="none" w:sz="0" w:space="0" w:color="auto"/>
                                    <w:left w:val="none" w:sz="0" w:space="0" w:color="auto"/>
                                    <w:bottom w:val="none" w:sz="0" w:space="0" w:color="auto"/>
                                    <w:right w:val="none" w:sz="0" w:space="0" w:color="auto"/>
                                  </w:divBdr>
                                </w:div>
                                <w:div w:id="240413627">
                                  <w:marLeft w:val="0"/>
                                  <w:marRight w:val="0"/>
                                  <w:marTop w:val="0"/>
                                  <w:marBottom w:val="0"/>
                                  <w:divBdr>
                                    <w:top w:val="none" w:sz="0" w:space="0" w:color="auto"/>
                                    <w:left w:val="none" w:sz="0" w:space="0" w:color="auto"/>
                                    <w:bottom w:val="none" w:sz="0" w:space="0" w:color="auto"/>
                                    <w:right w:val="none" w:sz="0" w:space="0" w:color="auto"/>
                                  </w:divBdr>
                                </w:div>
                                <w:div w:id="48362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705062">
                  <w:marLeft w:val="0"/>
                  <w:marRight w:val="0"/>
                  <w:marTop w:val="0"/>
                  <w:marBottom w:val="0"/>
                  <w:divBdr>
                    <w:top w:val="none" w:sz="0" w:space="0" w:color="auto"/>
                    <w:left w:val="none" w:sz="0" w:space="0" w:color="auto"/>
                    <w:bottom w:val="none" w:sz="0" w:space="0" w:color="auto"/>
                    <w:right w:val="none" w:sz="0" w:space="0" w:color="auto"/>
                  </w:divBdr>
                  <w:divsChild>
                    <w:div w:id="1198203900">
                      <w:marLeft w:val="0"/>
                      <w:marRight w:val="0"/>
                      <w:marTop w:val="0"/>
                      <w:marBottom w:val="0"/>
                      <w:divBdr>
                        <w:top w:val="none" w:sz="0" w:space="0" w:color="auto"/>
                        <w:left w:val="none" w:sz="0" w:space="0" w:color="auto"/>
                        <w:bottom w:val="none" w:sz="0" w:space="0" w:color="auto"/>
                        <w:right w:val="none" w:sz="0" w:space="0" w:color="auto"/>
                      </w:divBdr>
                      <w:divsChild>
                        <w:div w:id="901601415">
                          <w:marLeft w:val="0"/>
                          <w:marRight w:val="0"/>
                          <w:marTop w:val="0"/>
                          <w:marBottom w:val="0"/>
                          <w:divBdr>
                            <w:top w:val="none" w:sz="0" w:space="0" w:color="auto"/>
                            <w:left w:val="none" w:sz="0" w:space="0" w:color="auto"/>
                            <w:bottom w:val="none" w:sz="0" w:space="0" w:color="auto"/>
                            <w:right w:val="none" w:sz="0" w:space="0" w:color="auto"/>
                          </w:divBdr>
                          <w:divsChild>
                            <w:div w:id="71972599">
                              <w:marLeft w:val="0"/>
                              <w:marRight w:val="0"/>
                              <w:marTop w:val="0"/>
                              <w:marBottom w:val="0"/>
                              <w:divBdr>
                                <w:top w:val="none" w:sz="0" w:space="0" w:color="auto"/>
                                <w:left w:val="none" w:sz="0" w:space="0" w:color="auto"/>
                                <w:bottom w:val="none" w:sz="0" w:space="0" w:color="auto"/>
                                <w:right w:val="none" w:sz="0" w:space="0" w:color="auto"/>
                              </w:divBdr>
                              <w:divsChild>
                                <w:div w:id="576063595">
                                  <w:marLeft w:val="0"/>
                                  <w:marRight w:val="0"/>
                                  <w:marTop w:val="0"/>
                                  <w:marBottom w:val="0"/>
                                  <w:divBdr>
                                    <w:top w:val="none" w:sz="0" w:space="0" w:color="auto"/>
                                    <w:left w:val="none" w:sz="0" w:space="0" w:color="auto"/>
                                    <w:bottom w:val="none" w:sz="0" w:space="0" w:color="auto"/>
                                    <w:right w:val="none" w:sz="0" w:space="0" w:color="auto"/>
                                  </w:divBdr>
                                  <w:divsChild>
                                    <w:div w:id="9754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Pages>
  <Words>900</Words>
  <Characters>4955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olivebony@gmail.com</dc:creator>
  <cp:lastModifiedBy>olivebony@gmail.com</cp:lastModifiedBy>
  <cp:revision>9</cp:revision>
  <dcterms:created xsi:type="dcterms:W3CDTF">2026-07-17T09:14:00Z</dcterms:created>
  <dcterms:modified xsi:type="dcterms:W3CDTF">2026-07-27T09:46:00Z</dcterms:modified>
</cp:coreProperties>
</file>